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33" w:rsidRPr="00BE3433" w:rsidRDefault="00BE3433" w:rsidP="00BE3433">
      <w:pPr>
        <w:pBdr>
          <w:bottom w:val="single" w:sz="8" w:space="1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</w:t>
      </w:r>
      <w:r w:rsidRPr="00BE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НЕФТЕПЕРЕРАБАТЫВАЮЩЕЙ И НЕФТЕХИМИЧЕСКОЙ </w:t>
      </w:r>
      <w:r w:rsidRPr="00BE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ПРОМЫШЛЕННОСТИ СССР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  <w:r w:rsidRPr="00BE3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 УСТАНОВКЕ </w:t>
      </w:r>
      <w:r w:rsidRPr="00BE3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СИГНАЛИЗАТОРОВ И ГАЗОАНАЛИЗАТОРОВ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(ТУ-газ-86)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Москва- 1986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Требования к установке сигнализаторов и газоанализаторов (ТУ-газ-86) разработаны Центральной научно-исследовательской лабораторией по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газобезопасности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НПО "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Нефтехимавтоматика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утверждены приказом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Миннефтехимпрома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№ 419 от 30.04.86.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Требований учтен опыт эксплуатации сигнализаторов и газоанализаторов на предприятиях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Миннефтехимпрома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СССР, а также консультации и предложения проектных институтов. ТУ-газ-86 вводится в действие с 1 января 1987 года. С введением в действие ТУ-газ-86 отменяются аналогичные Требования (ТУ-газ-75).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 Р.М.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Мулаков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(ЦНИЛ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газобезопасности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Л.М. Рассказова (ЦНИЛ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газобезопасности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Степанова ((НПО "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Нефтехимавтоматика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  <w:proofErr w:type="gramEnd"/>
    </w:p>
    <w:p w:rsidR="00BE3433" w:rsidRPr="00BE3433" w:rsidRDefault="00BE3433" w:rsidP="00BE343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i16901"/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1. ОБЩИЕ ПОЛОЖЕНИЯ</w:t>
      </w:r>
      <w:bookmarkEnd w:id="0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Требования распространяются на вновь разрабатываемые проекты строительства и реконструкции производств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нефтеперабатывающей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нефтехимической промышленности СССР.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Требования определяют порядок установки автоматических стационарных непрерывно действующих сигнализаторов и системы сигнализации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газов и паров в воздухе производственных помещений и наружных установок, а также сигнализаторов и газоанализаторов предельно допустимых концентраций вредных веществ в воздухе рабочей зоны производственных помещений.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 настоящими Требованиями проектные организации определяют тип, количество сигнализаторов и газоанализаторов и места отбора проб газов и паров с учетом местных условий, технологических особенностей производства и т.д.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проектировании, монтаже и эксплуатации автоматических стационарных средств контроля и сигнализации вредных и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-пожароопасных газов и паров наряду с настоящими Требованиями следует руководствоваться соответствующими строительными нормами и правилами, Правилами устройства электроустановок (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ПУЭ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Указаниями по проектированию электроустановок в системах автоматизации производственных процессов, правилами и нормами по технике безопасности и пожарной безопасности, утвержденными или согласованными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Миннефтехимпромом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СССР, и инструкциями заводов-изготовителей.</w:t>
      </w:r>
      <w:proofErr w:type="gramEnd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Датчики сигнализаторов и газоанализаторов, а также сигнальная аппаратура, устанавливаемые во взрывоопасных зонах, должны соответствовать категориям и группам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взрывовопасных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смесей, которые могут образоваться в этих зонах.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Сигнализаторы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концентраций, при их серийном производстве, должны устанавливаться: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взрывоопасных зонах класса В-1а, а также в зонах класса В-1б, указанных в подпункте 1 пункта УП-3-2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ПУЭ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взрывоопасных зонах класса В-1г;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заглубленных помещениях с нормальной средой, куда возможно затекание горючих газов и паров извне.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Сигнализаторы и газоанализаторы предельно допустимых концентраций вредных 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веществ, при их серийном производстве, должны устанавливаться во всех производственных помещениях с наличием вредных веществ, независимо от класса их опасности.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1.0. При установке газоанализаторов или сигнализаторов для контроля предельно допустимых концентраций установка сигнализаторов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на данное вещество не требуется.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Сигнализаторы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концентраций, при содержании горючих газов и паров 5-50% от нижнего предела воспламенения (НПВ), и также газоанализаторы и сигнализаторы предельно допустимых концентраций, при содержании вредных веществ, превышающих предельно допустимые (ПДК), должны автоматически включать светозвуковую сигнализацию, оповещающую о наличии концентраций взрывоопасных или вредных веществ.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необходимости, определяемой проектной организацией, от импульса датчиков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должно предусматриваться автоматическое отключение технологического оборудования или включение систем защиты.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Световой и звуковой сигналы о наличии опасных концентраций взрывоопасных или вредных веществ должны подаваться для постоянно обслуживаемых помещений - в загазованное помещение, </w:t>
      </w:r>
      <w:r w:rsidRPr="00BE3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периодически обслуживаемых помещений 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входа в помещение.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Сигналы о срабатывании датчика сигнализатора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концентраций, установленного на открытой площадке, должны подаваться: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операторную или пункт управления производственным комплексом - световой и звуковой;</w:t>
      </w:r>
      <w:proofErr w:type="gramEnd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открытую площадку - только </w:t>
      </w: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</w:t>
      </w:r>
      <w:proofErr w:type="gram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Световая сигнализация оформляется в виде светового табло, устанавливаемого в хорошо обозреваемом месте.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Световое табло целесообразно размещать отдельно от сигнализации параметров технологического контроля.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В производственных помещениях с наличием аварийной и вытяжной вентиляции газоанализаторы и сигнализаторы необходимо блокировать с пуском аварийной вентиляции. Она должна автоматически включаться в работу при срабатывании датчиков газоанализаторов и сигнализаторов.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Отбор проб контролируемого воздуха к датчикам сигнализаторов и газоанализаторов следует предусматривать в местах наиболее вероятного выделения и скопления газов и паров в зависимости от их свойств, количества, а также конструктивных особенностей оборудования с соблюдением при этом указаний, изложенных в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разделах 2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3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Требований.</w:t>
      </w:r>
    </w:p>
    <w:p w:rsidR="00BE3433" w:rsidRPr="00BE3433" w:rsidRDefault="00BE3433" w:rsidP="00BE343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" w:name="i36865"/>
      <w:bookmarkStart w:id="2" w:name="i26185"/>
      <w:bookmarkEnd w:id="2"/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2. ПОРЯДОК УСТАНОВКИ СИГНАЛИЗАТОРОВ И ГАЗОАНАЛИЗАТОРОВ В ПРОИЗВОДСТВЕННЫХ ПОМЕЩЕНИЯХ</w:t>
      </w:r>
      <w:bookmarkEnd w:id="1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3" w:name="i46556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помещениях компрессорных датчик сигнализатора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горючих газов и паров следует предусматривать у каждого компрессорного агрегата в районе наиболее вероятных источников утечек перекачиваемой среды (сальники, лабиринтные уплотнения и т.д.) на расстоянии не более 1 м (по горизонтали) от них.</w:t>
      </w:r>
      <w:bookmarkEnd w:id="3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4" w:name="i56572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помещениях насосных сжиженных газов следует устанавливать один датчик сигнализатора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на насос или группу насосов при условии, если расстояние от датчика до наиболее удаленного места возможных утечек в этой группе насосов не превышает 3-х метров (по горизонтали).</w:t>
      </w:r>
      <w:bookmarkEnd w:id="4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5" w:name="i61777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насосных легковоспламеняющихся жидкостей, а также в других взрывоопасных помещениях следует предусматривать одно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пробоотборное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сигнализатора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на группу насосов, аппаратов или другого оборудования, при этом расстояние от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пробоотборного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до наиболее удаленной точки возможных утечек в этой группе насосов, аппаратов или другого оборудования не 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 превышать 4 метров (по горизонтали).</w:t>
      </w:r>
      <w:bookmarkEnd w:id="5"/>
      <w:proofErr w:type="gramEnd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заглубленных помещениях насосных сточных вод, оборотного водоснабжения и др., куда возможно затекание взрывоопасных газов и паров извне, а также складских помещениях при хранении в них ЛВЖ и горючих газов следует предусматривать по одному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пробоотборному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устройству сигнализатора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на канале 100 м</w:t>
      </w: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помещения, но не менее одного датчика на помещение.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Пробоотбрные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сигнализаторов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следует размещать по высоте помещений в соответствии с плотностями газов и паров (см.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приложение 1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учетом поправки на температуру: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выделении легких газов с плотностью по воздуху менее 1 - над источником;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выделении газов и паров с плотностью по воздуху от 1 до 1,5 - на высоте источника или ниже его;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выделении газов и паров с плотностью по воздуху более 1,5 - не более 0,5 м над полом.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наличии в производственном помещении смеси горючих газов и паров с различными плотностям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пробоотборные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сигнализаторов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следует размещать по высоте, исходя из плотности того компонента смеси, для которого величина отношения </w:t>
      </w:r>
      <w:r w:rsidRPr="00BE3433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D25B2B3" wp14:editId="6A455BF6">
            <wp:extent cx="390525" cy="400050"/>
            <wp:effectExtent l="0" t="0" r="9525" b="0"/>
            <wp:docPr id="1" name="Рисунок 1" descr="http://www.norm-load.ru/SNiP/Data1/9/9177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m-load.ru/SNiP/Data1/9/9177/x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наибольшая, где</w:t>
      </w: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концентрация компонента в смеси. НПВ и</w:t>
      </w: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друг от друга могут быть в любых единицах измерения, но одинаковых для всех компонентов смести.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измерения концентраций газов и их взаимный пересчет приведены в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приложении 2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Пробоотборные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газоанализаторов и сигнализаторов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вредных веществ следует размещать в рабочей зоне помещения в местах постоянного или временного пребывания обслуживающего персонала на высоте 1+1,5 м. На каждые 200 м</w:t>
      </w: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помещения необходимо устанавливать одно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пробоотборное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но не менее 1 датчика на помещение.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одновременном выделении в воздух рабочей зоны нескольких вредных веществ должен осуществляться контроль предельно допустимой концентрации того вещества, для которого соотношение </w:t>
      </w:r>
      <w:r w:rsidRPr="00BE3433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1E5CB88" wp14:editId="67BDC7BE">
            <wp:extent cx="390525" cy="419100"/>
            <wp:effectExtent l="0" t="0" r="9525" b="0"/>
            <wp:docPr id="2" name="Рисунок 2" descr="http://www.norm-load.ru/SNiP/Data1/9/9177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-load.ru/SNiP/Data1/9/9177/x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наибольшее значение, где</w:t>
      </w: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концентрация компонента в смеси.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При установке сигнализаторов и газоанализаторов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или предельно допустимых концентраций в производственных помещениях с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несплошными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решетчатыми междуэтажными перекрытиями каждый этаж следует рассматривать как самостоятельное помещение.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Допускается (за исключением помещений компрессорных и насосных сжиженных газов) применять автоматические переключатели (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приложение 3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попеременной подачи проб контролируемого воздуха от нескольких точек отбора к одному датчику. При этом периодичность анализа для каждой точки отбора не должна превышать 10 мин.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Газоподводящие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к датчикам сигнализаторов и газоанализаторов следует выполнять из труб с внутренним диаметром от 6 до 12 мм. В месте отбора проб анализируемого воздуха они должны заканчиваться обращенными вниз воронками высотой от 100 до 150 мм и диаметром от 50 до 100 мм.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Длина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газоподводящих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должна быть по возможности минимальной.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запаздывания поступления проб к датчику за счет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газоподводящих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не должно превышать 60 сек.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Материал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газоподводящих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должен обладать коррозионной устойчивостью к воздействию анализируемой и окружающей сред.</w:t>
      </w:r>
    </w:p>
    <w:p w:rsidR="00BE3433" w:rsidRPr="00BE3433" w:rsidRDefault="00BE3433" w:rsidP="00BE3433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6" w:name="i85586"/>
      <w:bookmarkStart w:id="7" w:name="i73303"/>
      <w:bookmarkEnd w:id="7"/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3. ПОРЯДОК УСТАНОВКИ ДАТЧИКОВ СИГНАЛИЗАТОРОВ ДОВЗРЫВООПАСНЫХ КОНЦЕНТРАЦИЙ НА ОТКРЫТЫХ УСТАНОВКАХ</w:t>
      </w:r>
      <w:bookmarkEnd w:id="6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Датчики сигнализаторов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устанавливаются только на той части площади открытой установки, где возможно оборудование с взрывопожароопасными продуктами.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 датчики не должны удаляться более чем на 6 м от внешнего периметра открытой установки в сторону расположения на ней оборудования, за исключением случаев, когда оборудование не имеет взрывоопасных продуктов, датчики каждого последующего ряда по отношению к предыдущему ряду датчиков должны быть сдвинуты на величину их радиуса обслуживания, т.е. расположены в шахматном порядке.</w:t>
      </w:r>
      <w:proofErr w:type="gramEnd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8" w:name="i98744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Датчики сигнализаторов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следует устанавливать в местах наиболее вероятного выделения и скопления горючих паров и газов, но во всех случаях радиус обслуживания одного датчика не должен превышать 10 м.</w:t>
      </w:r>
      <w:bookmarkEnd w:id="8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графической определении требуемого количества </w:t>
      </w: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датчиков</w:t>
      </w:r>
      <w:proofErr w:type="gram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образующиеся между кругами зон защиты пространства, не обслуживаемые датчиками, учитывать не следует.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Датчики сигнализаторов следует располагать на высоте 0,5+1 м от нулевой отметки.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многоярусных открытых этажерках датчики устанавливаются только на нулевой отметке.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Примерный порядок расположения датчиков на открытых установках показан в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приложени</w:t>
      </w:r>
      <w:bookmarkStart w:id="9" w:name="_GoBack"/>
      <w:bookmarkEnd w:id="9"/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ях 4-5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 периметру наружной установки, обращенному к печам, должно быть установлено не менее одного датчика на печь, при этом датчики сигнализатора устанавливаются против каждой стороны печи, обращенной к открытой установке.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Расстояние от места расположения датчиков сигнализаторов до печей должно быть не менее 15 м, но с соблюдением указаний, изложенных в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пункте 3.3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порядок расположения датчиков показан в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приложении 6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открытых* компрессорных горючих газов, насосных сжиженных газов и легковоспламеняющихся жидкостей, а также при расположении насосов, рассредоточенных по установке (секции, в блоке), датчики сигнализаторов </w:t>
      </w:r>
      <w:proofErr w:type="spellStart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устанавливаются с учетом указаний, изложенных в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пунктах 2.1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2.2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2.3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  <w:proofErr w:type="gramEnd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порядок вложения датчиков показан в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приложениях 7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E3433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8</w:t>
      </w: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0"/>
          <w:lang w:eastAsia="ru-RU"/>
        </w:rPr>
        <w:t>* К открытым насосным и компрессорным относятся: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BE34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насосные</w:t>
      </w:r>
      <w:proofErr w:type="gramEnd"/>
      <w:r w:rsidRPr="00BE3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компрессорные, расположенные на открытых площадках или под навесами с частичным ограждением боковых сторон;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BE34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насосные</w:t>
      </w:r>
      <w:proofErr w:type="gramEnd"/>
      <w:r w:rsidRPr="00BE3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частичным ограждением боковых сторон, расположенные под постаментом открытых этажерок;</w:t>
      </w:r>
    </w:p>
    <w:p w:rsidR="00BE3433" w:rsidRPr="00BE3433" w:rsidRDefault="00BE3433" w:rsidP="00BE3433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неотапливаемые </w:t>
      </w:r>
      <w:proofErr w:type="gramStart"/>
      <w:r w:rsidRPr="00BE34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компрессорные</w:t>
      </w:r>
      <w:proofErr w:type="gramEnd"/>
      <w:r w:rsidRPr="00BE3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съемным или раздвигающимся ограждением боковых сторон.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На сливо-наливных эстакадах следует устанавливать один датчик на две цистерны на нулевой отметке вдоль каждого фронта налива или слива.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двухстороннем фронте налива или слива датчики располагать в шахматном порядке.</w:t>
      </w:r>
    </w:p>
    <w:p w:rsidR="00BE3433" w:rsidRPr="00BE3433" w:rsidRDefault="00BE3433" w:rsidP="00BE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3433" w:rsidRPr="00BE3433">
          <w:pgSz w:w="11906" w:h="16838"/>
          <w:pgMar w:top="1134" w:right="1134" w:bottom="1134" w:left="1134" w:header="709" w:footer="709" w:gutter="0"/>
          <w:cols w:space="720"/>
        </w:sectPr>
      </w:pPr>
    </w:p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0" w:name="i117841"/>
      <w:bookmarkStart w:id="11" w:name="i103516"/>
      <w:bookmarkEnd w:id="11"/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Приложение 1</w:t>
      </w:r>
      <w:bookmarkEnd w:id="10"/>
    </w:p>
    <w:p w:rsidR="00BE3433" w:rsidRPr="00BE3433" w:rsidRDefault="00BE3433" w:rsidP="00BE343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Физико-химические свойства газов и паров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6"/>
        <w:gridCol w:w="2483"/>
        <w:gridCol w:w="1360"/>
        <w:gridCol w:w="1117"/>
        <w:gridCol w:w="1117"/>
        <w:gridCol w:w="957"/>
        <w:gridCol w:w="828"/>
        <w:gridCol w:w="957"/>
        <w:gridCol w:w="1038"/>
        <w:gridCol w:w="872"/>
        <w:gridCol w:w="1141"/>
      </w:tblGrid>
      <w:tr w:rsidR="00BE3433" w:rsidRPr="00BE3433">
        <w:trPr>
          <w:tblHeader/>
          <w:jc w:val="center"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веществ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Молекулярный вес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Плотность, 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по воздуху</w:t>
            </w: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воспламенения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 мг/м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опасности</w:t>
            </w:r>
          </w:p>
        </w:tc>
      </w:tr>
      <w:tr w:rsidR="00BE3433" w:rsidRPr="00BE343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об.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BE3433" w:rsidRPr="00BE343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BE3433" w:rsidRPr="00BE3433">
        <w:trPr>
          <w:tblHeader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Акриловометиловый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Н=CHCOOCH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Акриловоэтиловый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Н=CHCOOC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Акрилонитрил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=СНСN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Акролеин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=CHCHC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СHСН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Аллил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хлористый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=CHCH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Амилацетат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61"/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-Амилен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CH=CH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Амиловый спирт 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хлористый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Сl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681,4ж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Ацетальдегид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CHO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Ацетилен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СН≡СН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0,9107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СOCH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авиационный Б-100/130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авиационный каталитического крекинга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автомобильный А-72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автомобильный А-66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авиационный Б-70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Б-95/130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"Калоша"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прямой гонки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прямой гонки авиационный (базовый)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Мотобензин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каталитического крекинга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2,0665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Бутилацетат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Бутилен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CН=CН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1,9336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Бутилен-2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CH=CH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626,9ж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Бутиловый спирт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трет-Бутиловый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 хлористый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(СН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Винилацетат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COOCH≡CH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Винилиденхлорид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=CCl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Винил хлористый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СHСl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Винилциклогексан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=СНС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каталитического крекинга, жирный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11, 94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каталитического крекинга, сухой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пиролиза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термического крекинга, сухой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659,35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Гептан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Дивинил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=CHCH=CH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2,4353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1,8832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Диизопропил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CHCH(CH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661,62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Диизопропиловый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[CH(CH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Диметилдиоксан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Диметилпентан-2,3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CHCH(CH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Диметилформамид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NCHO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1,2-Дихлорпропан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CHClCH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Дихлорэтан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CHCl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1,2-Дихлорэтилен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CHCl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CHCl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Дициклопентадиен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Диэтиламин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Изоамиловый спирт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втор-Изоамиловый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CHCHOHCH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Изобутан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CHOH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2,0665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Изобутилен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C=CH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1,9336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Изобутиловый спирт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Изовалерьяновоэтиловый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Изогептан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Изооктан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CHCH(CH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Изопентан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619,67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Изопрен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=C(CH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CH= 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Изопропилбензол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Изопропиловый спирт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CHOH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Изопропилхлорид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CHCl 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Керосин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Ксилол (смесь газомеров)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м-Ксилол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п-Ксилол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Метакриловая кислота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=C(CH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)COOH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0,7166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0,5543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Метиламин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Метилацетат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Метилметакрилат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=C(CH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)COOCH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Метиловый спирт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Метилпентан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11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Метилформиат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HCOOCH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2-Метил-2-хлорбутан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CClС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 хлористый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Метилэтиленкетон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Метиловый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726,0ж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Моновинилацетилен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HC≡C-CH=CH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Муравьинобутиловый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НСООС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Муравьинопропиловый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НСОOС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Муравьиноизопропиловый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СH(CH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Неогексан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Неопентан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C(СН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2,4879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Окись пропилена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76A4ABB9" wp14:editId="265CD809">
                  <wp:extent cx="819150" cy="381000"/>
                  <wp:effectExtent l="0" t="0" r="0" b="0"/>
                  <wp:docPr id="3" name="Рисунок 3" descr="http://www.norm-load.ru/SNiP/Data1/9/9177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orm-load.ru/SNiP/Data1/9/9177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2,1-2,8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21,5-37,0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50-66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510-878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)6CH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Окись углерода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Окись этилена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52D8A69D" wp14:editId="5C7CAA9A">
                  <wp:extent cx="600075" cy="352425"/>
                  <wp:effectExtent l="0" t="0" r="9525" b="9525"/>
                  <wp:docPr id="4" name="Рисунок 4" descr="http://www.norm-load.ru/SNiP/Data1/9/9177/x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orm-load.ru/SNiP/Data1/9/9177/x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626,17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Петролейный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0,7-1,4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5,9-8,0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Пиридин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NСНСH=С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СH=СН</w:t>
            </w:r>
          </w:p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└──────────┘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1,5617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Пропилен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СН=СH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1,8753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1,4504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Пропионовая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СOOH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Пропионовоамиловый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Пропил хлористый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Сl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 металлическая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Hg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Сернистый ангидрит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Серный ангидрит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Серооокись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углерода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Сероуглерод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11263,0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Скипидар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16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Сольвент нефтяной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Сольвент каменноугольный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88060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СН=СН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Тетрагидрофуран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8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Тетраэтилсвинец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826,92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Т-1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80060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Триметиламин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Триэтиламин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Уайт-спирит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Уксусный ангидрит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CO)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Уксусноамиловый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Уксусноизоамиловый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Уксуснопропиловый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Уксусноэтиловый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HCHO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815,0ж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Фурфурол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OCHO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Хлористый водород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HCl</w:t>
            </w:r>
            <w:proofErr w:type="spellEnd"/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1,6390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Хлористый этил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2-Хлоропрен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CCl=CH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Циклогексанон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Циклогексан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Циклопентадиен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35A9C06B" wp14:editId="4C47A6FB">
                  <wp:extent cx="971550" cy="457200"/>
                  <wp:effectExtent l="0" t="0" r="0" b="0"/>
                  <wp:docPr id="5" name="Рисунок 5" descr="http://www.norm-load.ru/SNiP/Data1/9/9177/x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orm-load.ru/SNiP/Data1/9/9177/x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804,75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1,3561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1,0488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Этилацетат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1,2594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Этиленгликоль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73DDCA6A" wp14:editId="1EAB3F8B">
                  <wp:extent cx="590550" cy="533400"/>
                  <wp:effectExtent l="0" t="0" r="0" b="0"/>
                  <wp:docPr id="6" name="Рисунок 6" descr="http://www.norm-load.ru/SNiP/Data1/9/9177/x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orm-load.ru/SNiP/Data1/9/9177/x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0,1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Этиловый спирт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Этиловый эфир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Этилформиат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HCOOC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Этилхлоргидрин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2AB174DD" wp14:editId="74DD130E">
                  <wp:extent cx="904875" cy="361950"/>
                  <wp:effectExtent l="0" t="0" r="9525" b="0"/>
                  <wp:docPr id="7" name="Рисунок 7" descr="http://www.norm-load.ru/SNiP/Data1/9/9177/x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orm-load.ru/SNiP/Data1/9/9177/x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3433" w:rsidRPr="00BE3433">
        <w:trPr>
          <w:jc w:val="center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Этилцеллозольв</w:t>
            </w:r>
            <w:proofErr w:type="spell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14-15,7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66-74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515-578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</w:tbl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2" w:name="i146688"/>
      <w:bookmarkStart w:id="13" w:name="i135857"/>
      <w:bookmarkEnd w:id="13"/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Приложение 2</w:t>
      </w:r>
      <w:bookmarkEnd w:id="12"/>
    </w:p>
    <w:p w:rsidR="00BE3433" w:rsidRPr="00BE3433" w:rsidRDefault="00BE3433" w:rsidP="00BE343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Единицы измерения концентраций газов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"/>
        <w:gridCol w:w="936"/>
        <w:gridCol w:w="1702"/>
        <w:gridCol w:w="1700"/>
        <w:gridCol w:w="1843"/>
        <w:gridCol w:w="1843"/>
        <w:gridCol w:w="1764"/>
        <w:gridCol w:w="1817"/>
        <w:gridCol w:w="2086"/>
      </w:tblGrid>
      <w:tr w:rsidR="00BE3433" w:rsidRPr="00BE3433">
        <w:trPr>
          <w:trHeight w:val="20"/>
          <w:tblHeader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x</w:t>
            </w:r>
            <w:proofErr w:type="spellEnd"/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моль/дм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%(об.)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(частей на тысячу)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ппм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(частей на миллион)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spellEnd"/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ппб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(частей на миллиард)</w:t>
            </w:r>
          </w:p>
        </w:tc>
      </w:tr>
      <w:tr w:rsidR="00BE3433" w:rsidRPr="00BE3433">
        <w:trPr>
          <w:trHeight w:val="20"/>
          <w:tblHeader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BE3433" w:rsidRPr="00BE3433">
        <w:trPr>
          <w:trHeight w:val="20"/>
          <w:tblHeader/>
          <w:jc w:val="center"/>
        </w:trPr>
        <w:tc>
          <w:tcPr>
            <w:tcW w:w="64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3433" w:rsidRPr="00BE3433">
        <w:trPr>
          <w:trHeight w:val="20"/>
          <w:jc w:val="center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6030F8F2" wp14:editId="51CB354E">
                  <wp:extent cx="476250" cy="428625"/>
                  <wp:effectExtent l="0" t="0" r="0" b="9525"/>
                  <wp:docPr id="8" name="Рисунок 8" descr="http://www.norm-load.ru/SNiP/Data1/9/9177/x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orm-load.ru/SNiP/Data1/9/9177/x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7BC8BF8F" wp14:editId="5F69C310">
                  <wp:extent cx="1000125" cy="466725"/>
                  <wp:effectExtent l="0" t="0" r="9525" b="9525"/>
                  <wp:docPr id="9" name="Рисунок 9" descr="http://www.norm-load.ru/SNiP/Data1/9/9177/x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orm-load.ru/SNiP/Data1/9/9177/x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776D2F3A" wp14:editId="32B9ABEC">
                  <wp:extent cx="676275" cy="390525"/>
                  <wp:effectExtent l="0" t="0" r="9525" b="9525"/>
                  <wp:docPr id="10" name="Рисунок 10" descr="http://www.norm-load.ru/SNiP/Data1/9/9177/x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orm-load.ru/SNiP/Data1/9/9177/x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18054D49" wp14:editId="1E72A71D">
                  <wp:extent cx="904875" cy="457200"/>
                  <wp:effectExtent l="0" t="0" r="9525" b="0"/>
                  <wp:docPr id="11" name="Рисунок 11" descr="http://www.norm-load.ru/SNiP/Data1/9/9177/x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orm-load.ru/SNiP/Data1/9/9177/x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2F81C2DA" wp14:editId="201CEB55">
                  <wp:extent cx="904875" cy="457200"/>
                  <wp:effectExtent l="0" t="0" r="9525" b="0"/>
                  <wp:docPr id="12" name="Рисунок 12" descr="http://www.norm-load.ru/SNiP/Data1/9/9177/x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orm-load.ru/SNiP/Data1/9/9177/x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433" w:rsidRPr="00BE3433">
        <w:trPr>
          <w:trHeight w:val="20"/>
          <w:jc w:val="center"/>
        </w:trPr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-3 </w:t>
            </w:r>
            <w:proofErr w:type="spellStart"/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107CCFF5" wp14:editId="1F42A6B3">
                  <wp:extent cx="457200" cy="419100"/>
                  <wp:effectExtent l="0" t="0" r="0" b="0"/>
                  <wp:docPr id="13" name="Рисунок 13" descr="http://www.norm-load.ru/SNiP/Data1/9/9177/x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orm-load.ru/SNiP/Data1/9/9177/x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5B01D972" wp14:editId="70FFE1FF">
                  <wp:extent cx="971550" cy="457200"/>
                  <wp:effectExtent l="0" t="0" r="0" b="0"/>
                  <wp:docPr id="14" name="Рисунок 14" descr="http://www.norm-load.ru/SNiP/Data1/9/9177/x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orm-load.ru/SNiP/Data1/9/9177/x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238DEFF2" wp14:editId="173AD794">
                  <wp:extent cx="971550" cy="457200"/>
                  <wp:effectExtent l="0" t="0" r="0" b="0"/>
                  <wp:docPr id="15" name="Рисунок 15" descr="http://www.norm-load.ru/SNiP/Data1/9/9177/x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orm-load.ru/SNiP/Data1/9/9177/x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476D193D" wp14:editId="3F6E1626">
                  <wp:extent cx="676275" cy="400050"/>
                  <wp:effectExtent l="0" t="0" r="9525" b="0"/>
                  <wp:docPr id="16" name="Рисунок 16" descr="http://www.norm-load.ru/SNiP/Data1/9/9177/x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norm-load.ru/SNiP/Data1/9/9177/x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7D54733D" wp14:editId="2BD5D749">
                  <wp:extent cx="904875" cy="457200"/>
                  <wp:effectExtent l="0" t="0" r="9525" b="0"/>
                  <wp:docPr id="17" name="Рисунок 17" descr="http://www.norm-load.ru/SNiP/Data1/9/9177/x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norm-load.ru/SNiP/Data1/9/9177/x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433" w:rsidRPr="00BE3433">
        <w:trPr>
          <w:trHeight w:val="20"/>
          <w:jc w:val="center"/>
        </w:trPr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Моль/дм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proofErr w:type="spellStart"/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6 </w:t>
            </w:r>
            <w:proofErr w:type="spellStart"/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45B0C331" wp14:editId="293D0711">
                  <wp:extent cx="904875" cy="457200"/>
                  <wp:effectExtent l="0" t="0" r="9525" b="0"/>
                  <wp:docPr id="18" name="Рисунок 18" descr="http://www.norm-load.ru/SNiP/Data1/9/9177/x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orm-load.ru/SNiP/Data1/9/9177/x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2544EFF8" wp14:editId="60B6B9EF">
                  <wp:extent cx="904875" cy="457200"/>
                  <wp:effectExtent l="0" t="0" r="9525" b="0"/>
                  <wp:docPr id="19" name="Рисунок 19" descr="http://www.norm-load.ru/SNiP/Data1/9/9177/x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norm-load.ru/SNiP/Data1/9/9177/x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5D07F28B" wp14:editId="14F0ADD8">
                  <wp:extent cx="904875" cy="457200"/>
                  <wp:effectExtent l="0" t="0" r="9525" b="0"/>
                  <wp:docPr id="20" name="Рисунок 20" descr="http://www.norm-load.ru/SNiP/Data1/9/9177/x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norm-load.ru/SNiP/Data1/9/9177/x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7049E7CB" wp14:editId="5E4E5D04">
                  <wp:extent cx="904875" cy="457200"/>
                  <wp:effectExtent l="0" t="0" r="9525" b="0"/>
                  <wp:docPr id="21" name="Рисунок 21" descr="http://www.norm-load.ru/SNiP/Data1/9/9177/x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norm-load.ru/SNiP/Data1/9/9177/x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433" w:rsidRPr="00BE3433">
        <w:trPr>
          <w:trHeight w:val="20"/>
          <w:jc w:val="center"/>
        </w:trPr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%(об.)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7F534F78" wp14:editId="3A1CB9D0">
                  <wp:extent cx="962025" cy="457200"/>
                  <wp:effectExtent l="0" t="0" r="9525" b="0"/>
                  <wp:docPr id="22" name="Рисунок 22" descr="http://www.norm-load.ru/SNiP/Data1/9/9177/x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norm-load.ru/SNiP/Data1/9/9177/x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7B1126EB" wp14:editId="5C0EF4B7">
                  <wp:extent cx="942975" cy="457200"/>
                  <wp:effectExtent l="0" t="0" r="9525" b="0"/>
                  <wp:docPr id="23" name="Рисунок 23" descr="http://www.norm-load.ru/SNiP/Data1/9/9177/x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norm-load.ru/SNiP/Data1/9/9177/x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44CEE753" wp14:editId="508D22A2">
                  <wp:extent cx="942975" cy="457200"/>
                  <wp:effectExtent l="0" t="0" r="9525" b="0"/>
                  <wp:docPr id="24" name="Рисунок 24" descr="http://www.norm-load.ru/SNiP/Data1/9/9177/x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norm-load.ru/SNiP/Data1/9/9177/x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</w:tr>
      <w:tr w:rsidR="00BE3433" w:rsidRPr="00BE3433">
        <w:trPr>
          <w:trHeight w:val="20"/>
          <w:jc w:val="center"/>
        </w:trPr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(частей на тысячу)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517685A1" wp14:editId="4AF15717">
                  <wp:extent cx="942975" cy="457200"/>
                  <wp:effectExtent l="0" t="0" r="9525" b="0"/>
                  <wp:docPr id="25" name="Рисунок 25" descr="http://www.norm-load.ru/SNiP/Data1/9/9177/x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norm-load.ru/SNiP/Data1/9/9177/x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27A6F2E3" wp14:editId="4AC0A6A9">
                  <wp:extent cx="714375" cy="400050"/>
                  <wp:effectExtent l="0" t="0" r="9525" b="0"/>
                  <wp:docPr id="26" name="Рисунок 26" descr="http://www.norm-load.ru/SNiP/Data1/9/9177/x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norm-load.ru/SNiP/Data1/9/9177/x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5BC68413" wp14:editId="69C5AF35">
                  <wp:extent cx="962025" cy="457200"/>
                  <wp:effectExtent l="0" t="0" r="9525" b="0"/>
                  <wp:docPr id="27" name="Рисунок 27" descr="http://www.norm-load.ru/SNiP/Data1/9/9177/x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norm-load.ru/SNiP/Data1/9/9177/x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</w:tr>
      <w:tr w:rsidR="00BE3433" w:rsidRPr="00BE3433">
        <w:trPr>
          <w:trHeight w:val="20"/>
          <w:jc w:val="center"/>
        </w:trPr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ппм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(частей на миллион)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5FDF6A14" wp14:editId="18F57BB3">
                  <wp:extent cx="962025" cy="457200"/>
                  <wp:effectExtent l="0" t="0" r="9525" b="0"/>
                  <wp:docPr id="28" name="Рисунок 28" descr="http://www.norm-load.ru/SNiP/Data1/9/9177/x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norm-load.ru/SNiP/Data1/9/9177/x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1C97543A" wp14:editId="7486F282">
                  <wp:extent cx="942975" cy="457200"/>
                  <wp:effectExtent l="0" t="0" r="9525" b="0"/>
                  <wp:docPr id="29" name="Рисунок 29" descr="http://www.norm-load.ru/SNiP/Data1/9/9177/x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norm-load.ru/SNiP/Data1/9/9177/x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78126354" wp14:editId="74798253">
                  <wp:extent cx="962025" cy="457200"/>
                  <wp:effectExtent l="0" t="0" r="9525" b="0"/>
                  <wp:docPr id="30" name="Рисунок 30" descr="http://www.norm-load.ru/SNiP/Data1/9/9177/x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norm-load.ru/SNiP/Data1/9/9177/x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</w:tr>
      <w:tr w:rsidR="00BE3433" w:rsidRPr="00BE3433">
        <w:trPr>
          <w:trHeight w:val="20"/>
          <w:jc w:val="center"/>
        </w:trPr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spellEnd"/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ппб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(частей на миллиард)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7489B13F" wp14:editId="6161AAE8">
                  <wp:extent cx="962025" cy="457200"/>
                  <wp:effectExtent l="0" t="0" r="9525" b="0"/>
                  <wp:docPr id="31" name="Рисунок 31" descr="http://www.norm-load.ru/SNiP/Data1/9/9177/x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norm-load.ru/SNiP/Data1/9/9177/x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7AE66B35" wp14:editId="74ABC3CA">
                  <wp:extent cx="962025" cy="457200"/>
                  <wp:effectExtent l="0" t="0" r="9525" b="0"/>
                  <wp:docPr id="32" name="Рисунок 32" descr="http://www.norm-load.ru/SNiP/Data1/9/9177/x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norm-load.ru/SNiP/Data1/9/9177/x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Courier New" w:eastAsia="Times New Roman" w:hAnsi="Courier New" w:cs="Courier New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7C83202E" wp14:editId="4D767208">
                  <wp:extent cx="981075" cy="457200"/>
                  <wp:effectExtent l="0" t="0" r="9525" b="0"/>
                  <wp:docPr id="33" name="Рисунок 33" descr="http://www.norm-load.ru/SNiP/Data1/9/9177/x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norm-load.ru/SNiP/Data1/9/9177/x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-7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-6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Примечание: </w:t>
      </w:r>
      <w:proofErr w:type="spellStart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а</w:t>
      </w:r>
      <w:proofErr w:type="spellEnd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 числовое значение концентрации в заданных единицах;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spellStart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х</w:t>
      </w:r>
      <w:proofErr w:type="spellEnd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 числовое значение концентрации в искомых единицах;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М - молекулярная масса газа;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proofErr w:type="gramEnd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 общее давление газовой смеси, Па;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Т - температура, °</w:t>
      </w:r>
      <w:proofErr w:type="gramStart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К</w:t>
      </w:r>
      <w:proofErr w:type="gramEnd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1 г/м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= 1 мг/л;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1 мг/м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= 1 мкг/дм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1 мкг/л;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1 моль/дм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= 1 моль/</w:t>
      </w:r>
      <w:proofErr w:type="gramStart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л</w:t>
      </w:r>
      <w:proofErr w:type="gramEnd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1 см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/м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= 1 мл/м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1 м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/м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=1 </w:t>
      </w:r>
      <w:proofErr w:type="spellStart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мкл</w:t>
      </w:r>
      <w:proofErr w:type="spellEnd"/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/м</w:t>
      </w:r>
      <w:r w:rsidRPr="00BE3433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BE3433" w:rsidRPr="00BE3433" w:rsidRDefault="00BE3433" w:rsidP="00BE3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3433" w:rsidRPr="00BE3433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4" w:name="i173031"/>
      <w:bookmarkStart w:id="15" w:name="i162405"/>
      <w:bookmarkEnd w:id="15"/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Приложение 3</w:t>
      </w:r>
      <w:bookmarkEnd w:id="14"/>
    </w:p>
    <w:p w:rsidR="00BE3433" w:rsidRPr="00BE3433" w:rsidRDefault="00BE3433" w:rsidP="00BE343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Переключатели газовые автоматические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3698"/>
        <w:gridCol w:w="3298"/>
        <w:gridCol w:w="1977"/>
      </w:tblGrid>
      <w:tr w:rsidR="00BE3433" w:rsidRPr="00BE3433">
        <w:trPr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техническая характеристика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Изготовитель</w:t>
            </w:r>
          </w:p>
        </w:tc>
      </w:tr>
      <w:tr w:rsidR="00BE3433" w:rsidRPr="00BE3433">
        <w:trPr>
          <w:tblHeader/>
          <w:jc w:val="center"/>
        </w:trPr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33" w:rsidRPr="00BE3433" w:rsidRDefault="00BE3433" w:rsidP="00BE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433" w:rsidRPr="00BE3433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Переключатель газовый автоматический ПГП/12Д. Предназначен для автоматической поочередной подачи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газовоздушной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смеси </w:t>
            </w:r>
            <w:proofErr w:type="gram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нескольких точек отбора на один газоанализатор с предварительной продувкой линии отбора перед подключением на анализ</w:t>
            </w:r>
            <w:proofErr w:type="gram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для дистанционной передачи информации о номере точки отбора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точек отбора в зависимости от обвязки 2,3,4,6 и 12 шт. Расход газа от каждой точки отбора не боле - 0,015 м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/час. Продолжительность отбора от одной точки при автоматическом режиме - от 30 до 300 с. Давление газовой смеси вакуумметрическое -2000 Па.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НПО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Нефтехимавтоматика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Омское СКБ</w:t>
            </w:r>
          </w:p>
        </w:tc>
      </w:tr>
      <w:tr w:rsidR="00BE3433" w:rsidRPr="00BE3433">
        <w:trPr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Коммутаторы газовых потоков КГП-2, 4, 8. Предназначены для автоматического подключения каждого из входных каналов последовательно к двум выходным каналам, первый из которых может быть использован для предварительной продувки входного канала перед подключением соответствующей точки отбора пробы через второй выходной канал к датчику анализатора концентраций или сигнализатора.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подключаемых точек - 2, 4 или 8. Диапазон настройки времени подключения одной точки - от 10 до 100 с.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3" w:rsidRPr="00BE3433" w:rsidRDefault="00BE3433" w:rsidP="00BE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НПО </w:t>
            </w:r>
            <w:proofErr w:type="spellStart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Нефтехимавтоматика</w:t>
            </w:r>
            <w:proofErr w:type="spellEnd"/>
            <w:r w:rsidRPr="00B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Башкирское СКБ</w:t>
            </w:r>
          </w:p>
        </w:tc>
      </w:tr>
    </w:tbl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6" w:name="i205394"/>
      <w:bookmarkStart w:id="17" w:name="i195637"/>
      <w:bookmarkEnd w:id="17"/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Приложение 4</w:t>
      </w:r>
      <w:bookmarkEnd w:id="16"/>
    </w:p>
    <w:p w:rsidR="00BE3433" w:rsidRPr="00BE3433" w:rsidRDefault="00BE3433" w:rsidP="00BE343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017758" wp14:editId="574C4E06">
            <wp:extent cx="5810250" cy="1714500"/>
            <wp:effectExtent l="0" t="0" r="0" b="0"/>
            <wp:docPr id="34" name="Рисунок 34" descr="http://www.norm-load.ru/SNiP/Data1/9/9177/x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norm-load.ru/SNiP/Data1/9/9177/x06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33" w:rsidRPr="00BE3433" w:rsidRDefault="00BE3433" w:rsidP="00BE343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Примерный порядок расположения датчиков сигнализаторов </w:t>
      </w:r>
      <w:proofErr w:type="spellStart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концентраций на открытой установке шириной до 30 м:</w:t>
      </w:r>
    </w:p>
    <w:p w:rsidR="00BE3433" w:rsidRPr="00BE3433" w:rsidRDefault="00BE3433" w:rsidP="00BE34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55A1AF7" wp14:editId="0CC946F5">
            <wp:extent cx="142875" cy="142875"/>
            <wp:effectExtent l="0" t="0" r="9525" b="9525"/>
            <wp:docPr id="35" name="Рисунок 35" descr="http://www.norm-load.ru/SNiP/Data1/9/9177/x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norm-load.ru/SNiP/Data1/9/9177/x06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 - места установки датчиков;</w:t>
      </w:r>
    </w:p>
    <w:p w:rsidR="00BE3433" w:rsidRPr="00BE3433" w:rsidRDefault="00BE3433" w:rsidP="00BE3433">
      <w:pPr>
        <w:widowControl w:val="0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84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0B3D496" wp14:editId="2DEF3F15">
            <wp:extent cx="219075" cy="171450"/>
            <wp:effectExtent l="0" t="0" r="9525" b="0"/>
            <wp:docPr id="36" name="Рисунок 36" descr="http://www.norm-load.ru/SNiP/Data1/9/9177/x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norm-load.ru/SNiP/Data1/9/9177/x06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 - пространства ("мертвые" зоны), которые не следует учитывать при расстановке датчиков.</w:t>
      </w:r>
    </w:p>
    <w:p w:rsidR="00BE3433" w:rsidRPr="00BE3433" w:rsidRDefault="00BE3433" w:rsidP="00BE34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Расстояния даны в метрах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М 1:500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8" w:name="i226721"/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Приложение 5</w:t>
      </w:r>
      <w:bookmarkEnd w:id="18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53D222" wp14:editId="00B14376">
            <wp:extent cx="5791200" cy="2543175"/>
            <wp:effectExtent l="0" t="0" r="0" b="9525"/>
            <wp:docPr id="37" name="Рисунок 37" descr="http://www.norm-load.ru/SNiP/Data1/9/9177/x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norm-load.ru/SNiP/Data1/9/9177/x06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33" w:rsidRPr="00BE3433" w:rsidRDefault="00BE3433" w:rsidP="00BE343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Примерный порядок расположения датчиков сигнализаторов </w:t>
      </w:r>
      <w:proofErr w:type="spellStart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концентраций на открытой установке шириной более 30 м:</w:t>
      </w:r>
    </w:p>
    <w:p w:rsidR="00BE3433" w:rsidRPr="00BE3433" w:rsidRDefault="00BE3433" w:rsidP="00BE3433">
      <w:pPr>
        <w:tabs>
          <w:tab w:val="left" w:pos="851"/>
          <w:tab w:val="left" w:pos="9287"/>
        </w:tabs>
        <w:autoSpaceDE w:val="0"/>
        <w:autoSpaceDN w:val="0"/>
        <w:adjustRightInd w:val="0"/>
        <w:spacing w:after="0" w:line="240" w:lineRule="auto"/>
        <w:ind w:firstLine="284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B75C8EE" wp14:editId="60AA1BBE">
            <wp:extent cx="142875" cy="142875"/>
            <wp:effectExtent l="0" t="0" r="9525" b="9525"/>
            <wp:docPr id="38" name="Рисунок 38" descr="http://www.norm-load.ru/SNiP/Data1/9/9177/x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norm-load.ru/SNiP/Data1/9/9177/x06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 - места установки датчиков;</w:t>
      </w:r>
    </w:p>
    <w:p w:rsidR="00BE3433" w:rsidRPr="00BE3433" w:rsidRDefault="00BE3433" w:rsidP="00BE3433">
      <w:pPr>
        <w:widowControl w:val="0"/>
        <w:tabs>
          <w:tab w:val="left" w:pos="851"/>
          <w:tab w:val="left" w:pos="9287"/>
        </w:tabs>
        <w:autoSpaceDE w:val="0"/>
        <w:autoSpaceDN w:val="0"/>
        <w:adjustRightInd w:val="0"/>
        <w:spacing w:after="0" w:line="240" w:lineRule="auto"/>
        <w:ind w:firstLine="284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8F71FB9" wp14:editId="3B8900AE">
            <wp:extent cx="219075" cy="161925"/>
            <wp:effectExtent l="0" t="0" r="9525" b="9525"/>
            <wp:docPr id="39" name="Рисунок 39" descr="http://www.norm-load.ru/SNiP/Data1/9/9177/x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norm-load.ru/SNiP/Data1/9/9177/x06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 - пространства ("мертвые" зоны), которые не следует учитывать при расстановке датчиков.</w:t>
      </w:r>
    </w:p>
    <w:p w:rsidR="00BE3433" w:rsidRPr="00BE3433" w:rsidRDefault="00BE3433" w:rsidP="00BE34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Расстояния даны в метрах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ind w:firstLine="99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М 1:500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9" w:name="i253606"/>
      <w:bookmarkStart w:id="20" w:name="i245448"/>
      <w:bookmarkEnd w:id="20"/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Приложение 6</w:t>
      </w:r>
      <w:bookmarkEnd w:id="19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BF273" wp14:editId="23C0D416">
            <wp:extent cx="5762625" cy="2533650"/>
            <wp:effectExtent l="0" t="0" r="9525" b="0"/>
            <wp:docPr id="40" name="Рисунок 40" descr="http://www.norm-load.ru/SNiP/Data1/9/9177/x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norm-load.ru/SNiP/Data1/9/9177/x07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33" w:rsidRPr="00BE3433" w:rsidRDefault="00BE3433" w:rsidP="00BE343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Примерный порядок расположения датчиков сигнализаторов </w:t>
      </w:r>
      <w:proofErr w:type="spellStart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концентраций у печей:</w:t>
      </w:r>
    </w:p>
    <w:p w:rsidR="00BE3433" w:rsidRPr="00BE3433" w:rsidRDefault="00BE3433" w:rsidP="00BE3433">
      <w:pPr>
        <w:tabs>
          <w:tab w:val="left" w:pos="1134"/>
          <w:tab w:val="left" w:pos="9287"/>
        </w:tabs>
        <w:autoSpaceDE w:val="0"/>
        <w:autoSpaceDN w:val="0"/>
        <w:adjustRightInd w:val="0"/>
        <w:spacing w:after="0" w:line="240" w:lineRule="auto"/>
        <w:ind w:firstLine="284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7950D36" wp14:editId="6C289373">
            <wp:extent cx="142875" cy="142875"/>
            <wp:effectExtent l="0" t="0" r="9525" b="9525"/>
            <wp:docPr id="41" name="Рисунок 41" descr="http://www.norm-load.ru/SNiP/Data1/9/9177/x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norm-load.ru/SNiP/Data1/9/9177/x07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      - места установки датчиков;</w:t>
      </w:r>
    </w:p>
    <w:p w:rsidR="00BE3433" w:rsidRPr="00BE3433" w:rsidRDefault="00BE3433" w:rsidP="00BE3433">
      <w:pPr>
        <w:widowControl w:val="0"/>
        <w:tabs>
          <w:tab w:val="left" w:pos="1134"/>
          <w:tab w:val="left" w:pos="9287"/>
        </w:tabs>
        <w:autoSpaceDE w:val="0"/>
        <w:autoSpaceDN w:val="0"/>
        <w:adjustRightInd w:val="0"/>
        <w:spacing w:after="0" w:line="240" w:lineRule="auto"/>
        <w:ind w:firstLine="284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>П</w:t>
      </w:r>
      <w:proofErr w:type="gramStart"/>
      <w:r w:rsidRPr="00BE3433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>1</w:t>
      </w:r>
      <w:proofErr w:type="gramEnd"/>
      <w:r w:rsidRPr="00BE3433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, 2, 3         </w:t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- печи.</w:t>
      </w:r>
    </w:p>
    <w:p w:rsidR="00BE3433" w:rsidRPr="00BE3433" w:rsidRDefault="00BE3433" w:rsidP="00BE343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Расстояния даны в метрах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21" w:name="i287402"/>
      <w:bookmarkStart w:id="22" w:name="i276459"/>
      <w:bookmarkEnd w:id="22"/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Приложение 7</w:t>
      </w:r>
      <w:bookmarkEnd w:id="21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ADA3E0" wp14:editId="7F74C760">
            <wp:extent cx="5762625" cy="3067050"/>
            <wp:effectExtent l="0" t="0" r="9525" b="0"/>
            <wp:docPr id="42" name="Рисунок 42" descr="http://www.norm-load.ru/SNiP/Data1/9/9177/x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norm-load.ru/SNiP/Data1/9/9177/x07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33" w:rsidRPr="00BE3433" w:rsidRDefault="00BE3433" w:rsidP="00BE34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Примерный порядок расположения датчиков сигнализаторов </w:t>
      </w:r>
      <w:proofErr w:type="spellStart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концентраций </w:t>
      </w:r>
      <w:proofErr w:type="gramStart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proofErr w:type="gramEnd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насосных сжиженных газов и ЛВЖ:</w:t>
      </w:r>
    </w:p>
    <w:p w:rsidR="00BE3433" w:rsidRPr="00BE3433" w:rsidRDefault="00BE3433" w:rsidP="00BE3433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E11A995" wp14:editId="46A38EC6">
            <wp:extent cx="142875" cy="142875"/>
            <wp:effectExtent l="0" t="0" r="9525" b="9525"/>
            <wp:docPr id="43" name="Рисунок 43" descr="http://www.norm-load.ru/SNiP/Data1/9/9177/x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norm-load.ru/SNiP/Data1/9/9177/x07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         - места установки датчиков;</w:t>
      </w:r>
    </w:p>
    <w:p w:rsidR="00BE3433" w:rsidRPr="00BE3433" w:rsidRDefault="00BE3433" w:rsidP="00BE34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BA90D03" wp14:editId="6F64DFB6">
            <wp:extent cx="447675" cy="219075"/>
            <wp:effectExtent l="0" t="0" r="9525" b="9525"/>
            <wp:docPr id="44" name="Рисунок 44" descr="http://www.norm-load.ru/SNiP/Data1/9/9177/x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norm-load.ru/SNiP/Data1/9/9177/x07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 - насосы, перекачивающие сжиженные газы;</w:t>
      </w:r>
    </w:p>
    <w:p w:rsidR="00BE3433" w:rsidRPr="00BE3433" w:rsidRDefault="00BE3433" w:rsidP="00BE34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BE74F18" wp14:editId="43D1F681">
            <wp:extent cx="447675" cy="219075"/>
            <wp:effectExtent l="0" t="0" r="9525" b="9525"/>
            <wp:docPr id="45" name="Рисунок 45" descr="http://www.norm-load.ru/SNiP/Data1/9/9177/x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norm-load.ru/SNiP/Data1/9/9177/x078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 - насосы, перекачивающие ЛВЖ.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Расстояния даны в метрах.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ind w:firstLine="1276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М 1:100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23" w:name="i317328"/>
      <w:bookmarkStart w:id="24" w:name="i305055"/>
      <w:bookmarkEnd w:id="24"/>
      <w:r w:rsidRPr="00BE34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Приложение 8</w:t>
      </w:r>
      <w:bookmarkEnd w:id="23"/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A81D6" wp14:editId="0783D9D2">
            <wp:extent cx="5762625" cy="2552700"/>
            <wp:effectExtent l="0" t="0" r="9525" b="0"/>
            <wp:docPr id="46" name="Рисунок 46" descr="http://www.norm-load.ru/SNiP/Data1/9/9177/x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norm-load.ru/SNiP/Data1/9/9177/x08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33" w:rsidRPr="00BE3433" w:rsidRDefault="00BE3433" w:rsidP="00BE343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Примерный порядок расположения датчиков сигнализаторов </w:t>
      </w:r>
      <w:proofErr w:type="spellStart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довзрывных</w:t>
      </w:r>
      <w:proofErr w:type="spellEnd"/>
      <w:r w:rsidRPr="00BE34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концентраций на открытой установке с наличием рассредоточенного расположения насосов:</w:t>
      </w:r>
    </w:p>
    <w:p w:rsidR="00BE3433" w:rsidRPr="00BE3433" w:rsidRDefault="00BE3433" w:rsidP="00BE34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847F00E" wp14:editId="2AD12DB7">
            <wp:extent cx="142875" cy="133350"/>
            <wp:effectExtent l="0" t="0" r="9525" b="0"/>
            <wp:docPr id="47" name="Рисунок 47" descr="http://www.norm-load.ru/SNiP/Data1/9/9177/x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norm-load.ru/SNiP/Data1/9/9177/x06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         - места установки датчиков;</w:t>
      </w:r>
    </w:p>
    <w:p w:rsidR="00BE3433" w:rsidRPr="00BE3433" w:rsidRDefault="00BE3433" w:rsidP="00BE34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5D39D26" wp14:editId="12408237">
            <wp:extent cx="447675" cy="219075"/>
            <wp:effectExtent l="0" t="0" r="9525" b="9525"/>
            <wp:docPr id="48" name="Рисунок 48" descr="http://www.norm-load.ru/SNiP/Data1/9/9177/x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norm-load.ru/SNiP/Data1/9/9177/x08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  - насосы, перекачивающие сжиженные газы;</w:t>
      </w:r>
    </w:p>
    <w:p w:rsidR="00BE3433" w:rsidRPr="00BE3433" w:rsidRDefault="00BE3433" w:rsidP="00BE34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FD02F6D" wp14:editId="00B85253">
            <wp:extent cx="447675" cy="219075"/>
            <wp:effectExtent l="0" t="0" r="9525" b="9525"/>
            <wp:docPr id="49" name="Рисунок 49" descr="http://www.norm-load.ru/SNiP/Data1/9/9177/x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norm-load.ru/SNiP/Data1/9/9177/x08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  - насосы, перекачивающие ЛВЖ;</w:t>
      </w:r>
    </w:p>
    <w:p w:rsidR="00BE3433" w:rsidRPr="00BE3433" w:rsidRDefault="00BE3433" w:rsidP="00BE34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A3AF8F1" wp14:editId="036D17A3">
            <wp:extent cx="238125" cy="219075"/>
            <wp:effectExtent l="0" t="0" r="9525" b="9525"/>
            <wp:docPr id="50" name="Рисунок 50" descr="http://www.norm-load.ru/SNiP/Data1/9/9177/x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norm-load.ru/SNiP/Data1/9/9177/x08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      - реакторы;</w:t>
      </w:r>
    </w:p>
    <w:p w:rsidR="00BE3433" w:rsidRPr="00BE3433" w:rsidRDefault="00BE3433" w:rsidP="00BE34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B307E3E" wp14:editId="5E67C293">
            <wp:extent cx="447675" cy="200025"/>
            <wp:effectExtent l="0" t="0" r="9525" b="9525"/>
            <wp:docPr id="51" name="Рисунок 51" descr="http://www.norm-load.ru/SNiP/Data1/9/9177/x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norm-load.ru/SNiP/Data1/9/9177/x086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  - емкости;</w:t>
      </w:r>
    </w:p>
    <w:p w:rsidR="00BE3433" w:rsidRPr="00BE3433" w:rsidRDefault="00BE3433" w:rsidP="00BE34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w:drawing>
          <wp:inline distT="0" distB="0" distL="0" distR="0" wp14:anchorId="4DA06821" wp14:editId="1DC794F4">
            <wp:extent cx="561975" cy="295275"/>
            <wp:effectExtent l="0" t="0" r="9525" b="9525"/>
            <wp:docPr id="52" name="Рисунок 52" descr="http://www.norm-load.ru/SNiP/Data1/9/9177/x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norm-load.ru/SNiP/Data1/9/9177/x08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 - теплообменники;</w:t>
      </w:r>
    </w:p>
    <w:p w:rsidR="00BE3433" w:rsidRPr="00BE3433" w:rsidRDefault="00BE3433" w:rsidP="00BE34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hanging="99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CAA1BC0" wp14:editId="74F756AF">
            <wp:extent cx="247650" cy="209550"/>
            <wp:effectExtent l="0" t="0" r="0" b="0"/>
            <wp:docPr id="53" name="Рисунок 53" descr="http://www.norm-load.ru/SNiP/Data1/9/9177/x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norm-load.ru/SNiP/Data1/9/9177/x09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   - пространства ("мертвые" зоны), которые не следует учитывать при расстановке датчиков.</w:t>
      </w:r>
    </w:p>
    <w:p w:rsidR="00BE3433" w:rsidRPr="00BE3433" w:rsidRDefault="00BE3433" w:rsidP="00BE343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Расстояния даны в метрах.</w:t>
      </w:r>
    </w:p>
    <w:p w:rsidR="00BE3433" w:rsidRPr="00BE3433" w:rsidRDefault="00BE3433" w:rsidP="00BE3433">
      <w:pPr>
        <w:autoSpaceDE w:val="0"/>
        <w:autoSpaceDN w:val="0"/>
        <w:adjustRightInd w:val="0"/>
        <w:spacing w:before="120" w:after="0" w:line="240" w:lineRule="auto"/>
        <w:ind w:firstLine="1560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E3433">
        <w:rPr>
          <w:rFonts w:ascii="Times New Roman" w:eastAsia="Times New Roman" w:hAnsi="Times New Roman" w:cs="Times New Roman"/>
          <w:sz w:val="20"/>
          <w:szCs w:val="24"/>
          <w:lang w:eastAsia="ru-RU"/>
        </w:rPr>
        <w:t>М 1:200</w:t>
      </w:r>
    </w:p>
    <w:p w:rsidR="00654F58" w:rsidRDefault="00654F58"/>
    <w:sectPr w:rsidR="0065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33"/>
    <w:rsid w:val="00654F58"/>
    <w:rsid w:val="00B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43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343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E343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433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433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433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3433"/>
  </w:style>
  <w:style w:type="character" w:styleId="a3">
    <w:name w:val="Hyperlink"/>
    <w:basedOn w:val="a0"/>
    <w:uiPriority w:val="99"/>
    <w:semiHidden/>
    <w:unhideWhenUsed/>
    <w:rsid w:val="00BE34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433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BE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BE3433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BE3433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BE34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E3433"/>
    <w:rPr>
      <w:rFonts w:ascii="Tahoma" w:eastAsia="Times New Roman" w:hAnsi="Tahoma" w:cs="Tahoma"/>
      <w:sz w:val="16"/>
      <w:szCs w:val="16"/>
      <w:shd w:val="clear" w:color="auto" w:fill="000080"/>
      <w:lang w:eastAsia="ru-RU"/>
    </w:rPr>
  </w:style>
  <w:style w:type="paragraph" w:customStyle="1" w:styleId="yap-logo">
    <w:name w:val="yap-logo"/>
    <w:basedOn w:val="a"/>
    <w:rsid w:val="00BE34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BE34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BE3433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BE34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BE3433"/>
    <w:pPr>
      <w:shd w:val="clear" w:color="auto" w:fill="B0D3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BE34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BE34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BE34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BE3433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BE343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BE3433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BE34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BE34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BE3433"/>
    <w:pPr>
      <w:shd w:val="clear" w:color="auto" w:fill="B0D3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BE3433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BE3433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BE34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BE3433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BE3433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BE3433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43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343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E343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433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433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433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3433"/>
  </w:style>
  <w:style w:type="character" w:styleId="a3">
    <w:name w:val="Hyperlink"/>
    <w:basedOn w:val="a0"/>
    <w:uiPriority w:val="99"/>
    <w:semiHidden/>
    <w:unhideWhenUsed/>
    <w:rsid w:val="00BE34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433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BE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BE3433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BE3433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BE34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E3433"/>
    <w:rPr>
      <w:rFonts w:ascii="Tahoma" w:eastAsia="Times New Roman" w:hAnsi="Tahoma" w:cs="Tahoma"/>
      <w:sz w:val="16"/>
      <w:szCs w:val="16"/>
      <w:shd w:val="clear" w:color="auto" w:fill="000080"/>
      <w:lang w:eastAsia="ru-RU"/>
    </w:rPr>
  </w:style>
  <w:style w:type="paragraph" w:customStyle="1" w:styleId="yap-logo">
    <w:name w:val="yap-logo"/>
    <w:basedOn w:val="a"/>
    <w:rsid w:val="00BE34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BE34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BE3433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BE34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BE3433"/>
    <w:pPr>
      <w:shd w:val="clear" w:color="auto" w:fill="B0D3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BE34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BE34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BE34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BE3433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BE343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BE3433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BE34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BE34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BE3433"/>
    <w:pPr>
      <w:shd w:val="clear" w:color="auto" w:fill="B0D3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BE3433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BE3433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BE343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BE3433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BE3433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BE3433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B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fontTable" Target="fontTable.xm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3788</Words>
  <Characters>21592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2014-10-01T11:17:00Z</dcterms:created>
  <dcterms:modified xsi:type="dcterms:W3CDTF">2014-10-01T11:24:00Z</dcterms:modified>
</cp:coreProperties>
</file>